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Helvetica" w:hAnsi="Helvetica" w:eastAsia="Helvetica"/>
          <w:b/>
          <w:color w:val="0F6B5A"/>
          <w:sz w:val="16"/>
        </w:rPr>
        <w:t>EXECUTIVE EVIDENCE PORTFOLIO</w:t>
      </w:r>
    </w:p>
    <w:p>
      <w:pPr>
        <w:pStyle w:val="Title"/>
        <w:spacing w:after="100"/>
      </w:pPr>
      <w:r>
        <w:rPr>
          <w:rFonts w:ascii="Helvetica" w:hAnsi="Helvetica" w:eastAsia="Helvetica"/>
          <w:b/>
          <w:color w:val="0B1220"/>
          <w:sz w:val="58"/>
        </w:rPr>
        <w:t>Governance Architecture for Technology Risk, Assurance &amp; AI</w:t>
      </w:r>
    </w:p>
    <w:p>
      <w:pPr>
        <w:spacing w:after="160"/>
      </w:pPr>
      <w:r>
        <w:rPr>
          <w:rFonts w:ascii="Helvetica" w:hAnsi="Helvetica" w:eastAsia="Helvetica"/>
          <w:b w:val="0"/>
          <w:color w:val="5A6475"/>
          <w:sz w:val="20"/>
        </w:rPr>
        <w:t>Md. Abdullah Al Owasi · Technology Risk &amp; AI Governance · Editable master · 2026</w:t>
      </w:r>
    </w:p>
    <w:p>
      <w:pPr>
        <w:spacing w:before="20" w:after="140"/>
        <w:pBdr>
          <w:bottom w:val="single" w:sz="6" w:space="1" w:color="D9E1E8"/>
        </w:pBdr>
      </w:pPr>
    </w:p>
    <w:p>
      <w:pPr>
        <w:spacing w:after="200"/>
      </w:pPr>
      <w:r>
        <w:rPr>
          <w:rFonts w:ascii="Helvetica" w:hAnsi="Helvetica" w:eastAsia="Helvetica"/>
          <w:b/>
          <w:color w:val="0F6B5A"/>
          <w:sz w:val="30"/>
        </w:rPr>
        <w:t>Requirement → Control → Evidence → Exception → Residual Risk → Decision</w:t>
      </w:r>
    </w:p>
    <w:p>
      <w:r>
        <w:rPr>
          <w:rFonts w:ascii="Helvetica" w:hAnsi="Helvetica" w:eastAsia="Helvetica"/>
          <w:b w:val="0"/>
          <w:color w:val="5A6475"/>
          <w:sz w:val="19"/>
        </w:rPr>
        <w:t>This document presents portfolio systems and demonstrable capabilities. It does not convert personal projects into client work, employment tenure, completed audits, certifications or realized business-impact claims.</w:t>
      </w:r>
    </w:p>
    <w:p>
      <w:pPr>
        <w:pStyle w:val="Heading1"/>
      </w:pPr>
      <w:r>
        <w:t>01 — Executive Thesis</w:t>
      </w:r>
    </w:p>
    <w:p>
      <w:r>
        <w:rPr>
          <w:rFonts w:ascii="Helvetica" w:hAnsi="Helvetica" w:eastAsia="Helvetica"/>
          <w:b w:val="0"/>
          <w:color w:val="172033"/>
          <w:sz w:val="20"/>
        </w:rPr>
        <w:t>Governance earns value when it makes important decisions easier to defend. My portfolio is built around a consistent operating model: identify the material requirement, translate it into a control objective, define evidence, expose exceptions, assess residual risk and assign a decision owner.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41"/>
        <w:gridCol w:w="5141"/>
      </w:tblGrid>
      <w:tr>
        <w:trPr>
          <w:tblHeader w:val="true"/>
        </w:trPr>
        <w:tc>
          <w:tcPr>
            <w:tcW w:type="dxa" w:w="2880"/>
            <w:shd w:fill="0B12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Helvetica" w:hAnsi="Helvetica" w:eastAsia="Helvetica"/>
                <w:b/>
                <w:color w:val="FFFFFF"/>
                <w:sz w:val="18"/>
              </w:rPr>
              <w:t>Portfolio scope</w:t>
            </w:r>
          </w:p>
        </w:tc>
        <w:tc>
          <w:tcPr>
            <w:tcW w:type="dxa" w:w="7200"/>
            <w:shd w:fill="0B12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Helvetica" w:hAnsi="Helvetica" w:eastAsia="Helvetica"/>
                <w:b/>
                <w:color w:val="FFFFFF"/>
                <w:sz w:val="18"/>
              </w:rPr>
              <w:t>Inspectable evidence</w:t>
            </w:r>
          </w:p>
        </w:tc>
      </w:tr>
      <w:tr>
        <w:tc>
          <w:tcPr>
            <w:tcW w:type="dxa" w:w="288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8"/>
              </w:rPr>
              <w:t>10 governance systems</w:t>
            </w:r>
          </w:p>
        </w:tc>
        <w:tc>
          <w:tcPr>
            <w:tcW w:type="dxa" w:w="720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8"/>
              </w:rPr>
              <w:t>Assurance, AI governance, TPRM, control evidence, audit operations and executive risk</w:t>
            </w:r>
          </w:p>
        </w:tc>
      </w:tr>
      <w:tr>
        <w:tc>
          <w:tcPr>
            <w:tcW w:type="dxa" w:w="288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8"/>
              </w:rPr>
              <w:t>15 AI use cases</w:t>
            </w:r>
          </w:p>
        </w:tc>
        <w:tc>
          <w:tcPr>
            <w:tcW w:type="dxa" w:w="720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8"/>
              </w:rPr>
              <w:t>Purpose, data, stakeholders, oversight, risk, controls, monitoring and transparency</w:t>
            </w:r>
          </w:p>
        </w:tc>
      </w:tr>
      <w:tr>
        <w:tc>
          <w:tcPr>
            <w:tcW w:type="dxa" w:w="288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8"/>
              </w:rPr>
              <w:t>25 buyer questions</w:t>
            </w:r>
          </w:p>
        </w:tc>
        <w:tc>
          <w:tcPr>
            <w:tcW w:type="dxa" w:w="720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8"/>
              </w:rPr>
              <w:t>Customer assurance responses connected to evidence paths and ownership</w:t>
            </w:r>
          </w:p>
        </w:tc>
      </w:tr>
      <w:tr>
        <w:tc>
          <w:tcPr>
            <w:tcW w:type="dxa" w:w="288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8"/>
              </w:rPr>
              <w:t>20 vendor-risk questions</w:t>
            </w:r>
          </w:p>
        </w:tc>
        <w:tc>
          <w:tcPr>
            <w:tcW w:type="dxa" w:w="720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8"/>
              </w:rPr>
              <w:t>Criticality-weighted third-party review model</w:t>
            </w:r>
          </w:p>
        </w:tc>
      </w:tr>
      <w:tr>
        <w:tc>
          <w:tcPr>
            <w:tcW w:type="dxa" w:w="288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8"/>
              </w:rPr>
              <w:t>15 control/evidence domains</w:t>
            </w:r>
          </w:p>
        </w:tc>
        <w:tc>
          <w:tcPr>
            <w:tcW w:type="dxa" w:w="720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8"/>
              </w:rPr>
              <w:t>Control intent, evidence, cadence, test procedure, exception and remediation fields</w:t>
            </w:r>
          </w:p>
        </w:tc>
      </w:tr>
      <w:tr>
        <w:tc>
          <w:tcPr>
            <w:tcW w:type="dxa" w:w="288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8"/>
              </w:rPr>
              <w:t>15 executive risks</w:t>
            </w:r>
          </w:p>
        </w:tc>
        <w:tc>
          <w:tcPr>
            <w:tcW w:type="dxa" w:w="720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8"/>
              </w:rPr>
              <w:t>Likelihood, impact, treatment, residual risk, KRI, threshold and escalation</w:t>
            </w:r>
          </w:p>
        </w:tc>
      </w:tr>
    </w:tbl>
    <w:p>
      <w:pPr>
        <w:pStyle w:val="Heading1"/>
      </w:pPr>
      <w:r>
        <w:t>02 — Signature Decision Architecture</w:t>
      </w:r>
    </w:p>
    <w:p>
      <w:pPr>
        <w:keepNext/>
      </w:pPr>
      <w:r>
        <w:rPr>
          <w:rFonts w:ascii="Helvetica" w:hAnsi="Helvetica" w:eastAsia="Helvetica"/>
          <w:b/>
          <w:color w:val="0F6B5A"/>
          <w:sz w:val="23"/>
        </w:rPr>
        <w:t>01  Requirement</w:t>
      </w:r>
    </w:p>
    <w:p>
      <w:pPr>
        <w:ind w:left="360"/>
      </w:pPr>
      <w:r>
        <w:rPr>
          <w:rFonts w:ascii="Helvetica" w:hAnsi="Helvetica" w:eastAsia="Helvetica"/>
          <w:b w:val="0"/>
          <w:color w:val="172033"/>
          <w:sz w:val="20"/>
        </w:rPr>
        <w:t>What obligation, risk expectation or business need is material?</w:t>
      </w:r>
    </w:p>
    <w:p>
      <w:pPr>
        <w:keepNext/>
      </w:pPr>
      <w:r>
        <w:rPr>
          <w:rFonts w:ascii="Helvetica" w:hAnsi="Helvetica" w:eastAsia="Helvetica"/>
          <w:b/>
          <w:color w:val="0F6B5A"/>
          <w:sz w:val="23"/>
        </w:rPr>
        <w:t>02  Control</w:t>
      </w:r>
    </w:p>
    <w:p>
      <w:pPr>
        <w:ind w:left="360"/>
      </w:pPr>
      <w:r>
        <w:rPr>
          <w:rFonts w:ascii="Helvetica" w:hAnsi="Helvetica" w:eastAsia="Helvetica"/>
          <w:b w:val="0"/>
          <w:color w:val="172033"/>
          <w:sz w:val="20"/>
        </w:rPr>
        <w:t>What behavior, configuration or process should manage it?</w:t>
      </w:r>
    </w:p>
    <w:p>
      <w:pPr>
        <w:keepNext/>
      </w:pPr>
      <w:r>
        <w:rPr>
          <w:rFonts w:ascii="Helvetica" w:hAnsi="Helvetica" w:eastAsia="Helvetica"/>
          <w:b/>
          <w:color w:val="0F6B5A"/>
          <w:sz w:val="23"/>
        </w:rPr>
        <w:t>03  Evidence</w:t>
      </w:r>
    </w:p>
    <w:p>
      <w:pPr>
        <w:ind w:left="360"/>
      </w:pPr>
      <w:r>
        <w:rPr>
          <w:rFonts w:ascii="Helvetica" w:hAnsi="Helvetica" w:eastAsia="Helvetica"/>
          <w:b w:val="0"/>
          <w:color w:val="172033"/>
          <w:sz w:val="20"/>
        </w:rPr>
        <w:t>What proves the control exists and operates as intended?</w:t>
      </w:r>
    </w:p>
    <w:p>
      <w:pPr>
        <w:keepNext/>
      </w:pPr>
      <w:r>
        <w:rPr>
          <w:rFonts w:ascii="Helvetica" w:hAnsi="Helvetica" w:eastAsia="Helvetica"/>
          <w:b/>
          <w:color w:val="0F6B5A"/>
          <w:sz w:val="23"/>
        </w:rPr>
        <w:t>04  Exception</w:t>
      </w:r>
    </w:p>
    <w:p>
      <w:pPr>
        <w:ind w:left="360"/>
      </w:pPr>
      <w:r>
        <w:rPr>
          <w:rFonts w:ascii="Helvetica" w:hAnsi="Helvetica" w:eastAsia="Helvetica"/>
          <w:b w:val="0"/>
          <w:color w:val="172033"/>
          <w:sz w:val="20"/>
        </w:rPr>
        <w:t>Where is the requirement unmet, uncertain or dependent on remediation?</w:t>
      </w:r>
    </w:p>
    <w:p>
      <w:pPr>
        <w:keepNext/>
      </w:pPr>
      <w:r>
        <w:rPr>
          <w:rFonts w:ascii="Helvetica" w:hAnsi="Helvetica" w:eastAsia="Helvetica"/>
          <w:b/>
          <w:color w:val="0F6B5A"/>
          <w:sz w:val="23"/>
        </w:rPr>
        <w:t>05  Residual Risk</w:t>
      </w:r>
    </w:p>
    <w:p>
      <w:pPr>
        <w:ind w:left="360"/>
      </w:pPr>
      <w:r>
        <w:rPr>
          <w:rFonts w:ascii="Helvetica" w:hAnsi="Helvetica" w:eastAsia="Helvetica"/>
          <w:b w:val="0"/>
          <w:color w:val="172033"/>
          <w:sz w:val="20"/>
        </w:rPr>
        <w:t>What remains after the current control state is considered?</w:t>
      </w:r>
    </w:p>
    <w:p>
      <w:pPr>
        <w:keepNext/>
      </w:pPr>
      <w:r>
        <w:rPr>
          <w:rFonts w:ascii="Helvetica" w:hAnsi="Helvetica" w:eastAsia="Helvetica"/>
          <w:b/>
          <w:color w:val="0F6B5A"/>
          <w:sz w:val="23"/>
        </w:rPr>
        <w:t>06  Decision</w:t>
      </w:r>
    </w:p>
    <w:p>
      <w:pPr>
        <w:ind w:left="360"/>
      </w:pPr>
      <w:r>
        <w:rPr>
          <w:rFonts w:ascii="Helvetica" w:hAnsi="Helvetica" w:eastAsia="Helvetica"/>
          <w:b w:val="0"/>
          <w:color w:val="172033"/>
          <w:sz w:val="20"/>
        </w:rPr>
        <w:t>Who accepts, remediates, escalates, approves or rejects the risk?</w:t>
      </w:r>
    </w:p>
    <w:p>
      <w:pPr>
        <w:pStyle w:val="Heading1"/>
      </w:pPr>
      <w:r>
        <w:t>03 — Enterprise Assurance Evidence Fabric</w:t>
      </w:r>
    </w:p>
    <w:p>
      <w:r>
        <w:rPr>
          <w:rFonts w:ascii="Helvetica" w:hAnsi="Helvetica" w:eastAsia="Helvetica"/>
          <w:b w:val="0"/>
          <w:color w:val="172033"/>
          <w:sz w:val="20"/>
        </w:rPr>
        <w:t>A control-to-evidence architecture that decomposes trust claims into accountable owners, framework references, reviewable evidence, exception state and remediation decisions.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70"/>
        <w:gridCol w:w="2570"/>
        <w:gridCol w:w="2570"/>
        <w:gridCol w:w="2570"/>
      </w:tblGrid>
      <w:tr>
        <w:trPr>
          <w:tblHeader w:val="true"/>
        </w:trPr>
        <w:tc>
          <w:tcPr>
            <w:tcW w:type="dxa" w:w="2160"/>
            <w:shd w:fill="0B12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Helvetica" w:hAnsi="Helvetica" w:eastAsia="Helvetica"/>
                <w:b/>
                <w:color w:val="FFFFFF"/>
                <w:sz w:val="17"/>
              </w:rPr>
              <w:t>Domain</w:t>
            </w:r>
          </w:p>
        </w:tc>
        <w:tc>
          <w:tcPr>
            <w:tcW w:type="dxa" w:w="3456"/>
            <w:shd w:fill="0B12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Helvetica" w:hAnsi="Helvetica" w:eastAsia="Helvetica"/>
                <w:b/>
                <w:color w:val="FFFFFF"/>
                <w:sz w:val="17"/>
              </w:rPr>
              <w:t>Decision question</w:t>
            </w:r>
          </w:p>
        </w:tc>
        <w:tc>
          <w:tcPr>
            <w:tcW w:type="dxa" w:w="3744"/>
            <w:shd w:fill="0B12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Helvetica" w:hAnsi="Helvetica" w:eastAsia="Helvetica"/>
                <w:b/>
                <w:color w:val="FFFFFF"/>
                <w:sz w:val="17"/>
              </w:rPr>
              <w:t>Evidence path</w:t>
            </w:r>
          </w:p>
        </w:tc>
        <w:tc>
          <w:tcPr>
            <w:tcW w:type="dxa" w:w="1152"/>
            <w:shd w:fill="0B12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Helvetica" w:hAnsi="Helvetica" w:eastAsia="Helvetica"/>
                <w:b/>
                <w:color w:val="FFFFFF"/>
                <w:sz w:val="17"/>
              </w:rPr>
              <w:t>Priority</w:t>
            </w:r>
          </w:p>
        </w:tc>
      </w:tr>
      <w:tr>
        <w:tc>
          <w:tcPr>
            <w:tcW w:type="dxa" w:w="21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Identity &amp; access</w:t>
            </w:r>
          </w:p>
        </w:tc>
        <w:tc>
          <w:tcPr>
            <w:tcW w:type="dxa" w:w="345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Can privileged access be defended?</w:t>
            </w:r>
          </w:p>
        </w:tc>
        <w:tc>
          <w:tcPr>
            <w:tcW w:type="dxa" w:w="374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RBAC, MFA, privileged-account inventory, access review</w:t>
            </w:r>
          </w:p>
        </w:tc>
        <w:tc>
          <w:tcPr>
            <w:tcW w:type="dxa" w:w="115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High</w:t>
            </w:r>
          </w:p>
        </w:tc>
      </w:tr>
      <w:tr>
        <w:tc>
          <w:tcPr>
            <w:tcW w:type="dxa" w:w="21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Encryption</w:t>
            </w:r>
          </w:p>
        </w:tc>
        <w:tc>
          <w:tcPr>
            <w:tcW w:type="dxa" w:w="345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Is customer data protected in transit and at rest?</w:t>
            </w:r>
          </w:p>
        </w:tc>
        <w:tc>
          <w:tcPr>
            <w:tcW w:type="dxa" w:w="374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TLS configuration, storage encryption, key-management evidence</w:t>
            </w:r>
          </w:p>
        </w:tc>
        <w:tc>
          <w:tcPr>
            <w:tcW w:type="dxa" w:w="115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High</w:t>
            </w:r>
          </w:p>
        </w:tc>
      </w:tr>
      <w:tr>
        <w:tc>
          <w:tcPr>
            <w:tcW w:type="dxa" w:w="21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Incident response</w:t>
            </w:r>
          </w:p>
        </w:tc>
        <w:tc>
          <w:tcPr>
            <w:tcW w:type="dxa" w:w="345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Can escalation and notification be evidenced?</w:t>
            </w:r>
          </w:p>
        </w:tc>
        <w:tc>
          <w:tcPr>
            <w:tcW w:type="dxa" w:w="374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IR plan, exercise results, incident workflow, notification decision</w:t>
            </w:r>
          </w:p>
        </w:tc>
        <w:tc>
          <w:tcPr>
            <w:tcW w:type="dxa" w:w="115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High</w:t>
            </w:r>
          </w:p>
        </w:tc>
      </w:tr>
      <w:tr>
        <w:tc>
          <w:tcPr>
            <w:tcW w:type="dxa" w:w="21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Third parties</w:t>
            </w:r>
          </w:p>
        </w:tc>
        <w:tc>
          <w:tcPr>
            <w:tcW w:type="dxa" w:w="345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Are material vendors governed in proportion to exposure?</w:t>
            </w:r>
          </w:p>
        </w:tc>
        <w:tc>
          <w:tcPr>
            <w:tcW w:type="dxa" w:w="374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Criticality, assurance reports, DPA terms, findings, treatment</w:t>
            </w:r>
          </w:p>
        </w:tc>
        <w:tc>
          <w:tcPr>
            <w:tcW w:type="dxa" w:w="115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High</w:t>
            </w:r>
          </w:p>
        </w:tc>
      </w:tr>
      <w:tr>
        <w:tc>
          <w:tcPr>
            <w:tcW w:type="dxa" w:w="21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Customer assurance</w:t>
            </w:r>
          </w:p>
        </w:tc>
        <w:tc>
          <w:tcPr>
            <w:tcW w:type="dxa" w:w="345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Can trust claims be repeated consistently?</w:t>
            </w:r>
          </w:p>
        </w:tc>
        <w:tc>
          <w:tcPr>
            <w:tcW w:type="dxa" w:w="374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Approved answer, evidence source, owner, review date, caveat</w:t>
            </w:r>
          </w:p>
        </w:tc>
        <w:tc>
          <w:tcPr>
            <w:tcW w:type="dxa" w:w="115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High</w:t>
            </w:r>
          </w:p>
        </w:tc>
      </w:tr>
    </w:tbl>
    <w:p>
      <w:pPr>
        <w:spacing w:after="44"/>
        <w:ind w:left="216" w:hanging="173"/>
      </w:pPr>
      <w:r>
        <w:rPr>
          <w:rFonts w:ascii="Helvetica" w:hAnsi="Helvetica" w:eastAsia="Helvetica"/>
          <w:b/>
          <w:color w:val="0F6B5A"/>
          <w:sz w:val="19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9"/>
        </w:rPr>
        <w:t>Business relevance: reduces ambiguity in customer security review, audit preparation and internal control ownership without claiming a realized cycle-time reduction.</w:t>
      </w:r>
    </w:p>
    <w:p>
      <w:pPr>
        <w:spacing w:after="44"/>
        <w:ind w:left="216" w:hanging="173"/>
      </w:pPr>
      <w:r>
        <w:rPr>
          <w:rFonts w:ascii="Helvetica" w:hAnsi="Helvetica" w:eastAsia="Helvetica"/>
          <w:b/>
          <w:color w:val="0F6B5A"/>
          <w:sz w:val="19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9"/>
        </w:rPr>
        <w:t>Verification: detailed workbook sheets P01 Trust, P04 control evidence, P08 procurement QA and P10 audit operations.</w:t>
      </w:r>
    </w:p>
    <w:p>
      <w:pPr>
        <w:pStyle w:val="Heading1"/>
      </w:pPr>
      <w:r>
        <w:t>04 — AI Governance Decision Register</w:t>
      </w:r>
    </w:p>
    <w:p>
      <w:r>
        <w:rPr>
          <w:rFonts w:ascii="Helvetica" w:hAnsi="Helvetica" w:eastAsia="Helvetica"/>
          <w:b w:val="0"/>
          <w:color w:val="172033"/>
          <w:sz w:val="20"/>
        </w:rPr>
        <w:t>A 15-use-case AI inventory and risk model that connects business purpose, data classes, human oversight, NIST AI RMF functions, controls, residual risk, monitoring and transparency decisions.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70"/>
        <w:gridCol w:w="2570"/>
        <w:gridCol w:w="2570"/>
        <w:gridCol w:w="2570"/>
      </w:tblGrid>
      <w:tr>
        <w:trPr>
          <w:tblHeader w:val="true"/>
        </w:trPr>
        <w:tc>
          <w:tcPr>
            <w:tcW w:type="dxa" w:w="2160"/>
            <w:shd w:fill="0B12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Helvetica" w:hAnsi="Helvetica" w:eastAsia="Helvetica"/>
                <w:b/>
                <w:color w:val="FFFFFF"/>
                <w:sz w:val="17"/>
              </w:rPr>
              <w:t>Use case</w:t>
            </w:r>
          </w:p>
        </w:tc>
        <w:tc>
          <w:tcPr>
            <w:tcW w:type="dxa" w:w="2880"/>
            <w:shd w:fill="0B12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Helvetica" w:hAnsi="Helvetica" w:eastAsia="Helvetica"/>
                <w:b/>
                <w:color w:val="FFFFFF"/>
                <w:sz w:val="17"/>
              </w:rPr>
              <w:t>Human oversight</w:t>
            </w:r>
          </w:p>
        </w:tc>
        <w:tc>
          <w:tcPr>
            <w:tcW w:type="dxa" w:w="2880"/>
            <w:shd w:fill="0B12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Helvetica" w:hAnsi="Helvetica" w:eastAsia="Helvetica"/>
                <w:b/>
                <w:color w:val="FFFFFF"/>
                <w:sz w:val="17"/>
              </w:rPr>
              <w:t>Primary risk</w:t>
            </w:r>
          </w:p>
        </w:tc>
        <w:tc>
          <w:tcPr>
            <w:tcW w:type="dxa" w:w="3888"/>
            <w:shd w:fill="0B12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Helvetica" w:hAnsi="Helvetica" w:eastAsia="Helvetica"/>
                <w:b/>
                <w:color w:val="FFFFFF"/>
                <w:sz w:val="17"/>
              </w:rPr>
              <w:t>Decision logic</w:t>
            </w:r>
          </w:p>
        </w:tc>
      </w:tr>
      <w:tr>
        <w:tc>
          <w:tcPr>
            <w:tcW w:type="dxa" w:w="21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Support chatbot</w:t>
            </w:r>
          </w:p>
        </w:tc>
        <w:tc>
          <w:tcPr>
            <w:tcW w:type="dxa" w:w="288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Escalation to trained human</w:t>
            </w:r>
          </w:p>
        </w:tc>
        <w:tc>
          <w:tcPr>
            <w:tcW w:type="dxa" w:w="288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Disclosure, answer quality, sensitive data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Implement with disclosure, data controls, testing and escalation</w:t>
            </w:r>
          </w:p>
        </w:tc>
      </w:tr>
      <w:tr>
        <w:tc>
          <w:tcPr>
            <w:tcW w:type="dxa" w:w="21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Voice agent</w:t>
            </w:r>
          </w:p>
        </w:tc>
        <w:tc>
          <w:tcPr>
            <w:tcW w:type="dxa" w:w="288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Material-issue escalation</w:t>
            </w:r>
          </w:p>
        </w:tc>
        <w:tc>
          <w:tcPr>
            <w:tcW w:type="dxa" w:w="288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Interaction transparency, accuracy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Implement with clear AI disclosure and monitored exception path</w:t>
            </w:r>
          </w:p>
        </w:tc>
      </w:tr>
      <w:tr>
        <w:tc>
          <w:tcPr>
            <w:tcW w:type="dxa" w:w="21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Code assistant</w:t>
            </w:r>
          </w:p>
        </w:tc>
        <w:tc>
          <w:tcPr>
            <w:tcW w:type="dxa" w:w="288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Developer + CI review</w:t>
            </w:r>
          </w:p>
        </w:tc>
        <w:tc>
          <w:tcPr>
            <w:tcW w:type="dxa" w:w="288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Secrets, vulnerable code, data leakage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Control with approved tooling, secret scanning and code review</w:t>
            </w:r>
          </w:p>
        </w:tc>
      </w:tr>
      <w:tr>
        <w:tc>
          <w:tcPr>
            <w:tcW w:type="dxa" w:w="21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Risk summarizer</w:t>
            </w:r>
          </w:p>
        </w:tc>
        <w:tc>
          <w:tcPr>
            <w:tcW w:type="dxa" w:w="288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GRC/CISO approval</w:t>
            </w:r>
          </w:p>
        </w:tc>
        <w:tc>
          <w:tcPr>
            <w:tcW w:type="dxa" w:w="288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Misstatement of material risk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Control with source traceability and human approval</w:t>
            </w:r>
          </w:p>
        </w:tc>
      </w:tr>
    </w:tbl>
    <w:p>
      <w:pPr>
        <w:spacing w:after="44"/>
        <w:ind w:left="216" w:hanging="173"/>
      </w:pPr>
      <w:r>
        <w:rPr>
          <w:rFonts w:ascii="Helvetica" w:hAnsi="Helvetica" w:eastAsia="Helvetica"/>
          <w:b/>
          <w:color w:val="0F6B5A"/>
          <w:sz w:val="19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9"/>
        </w:rPr>
        <w:t>Framework lens: NIST AI RMF Govern, Map, Measure and Manage; ISO/IEC 42001 management-system concepts; EU AI Act transparency applicability where relevant.</w:t>
      </w:r>
    </w:p>
    <w:p>
      <w:pPr>
        <w:spacing w:after="44"/>
        <w:ind w:left="216" w:hanging="173"/>
      </w:pPr>
      <w:r>
        <w:rPr>
          <w:rFonts w:ascii="Helvetica" w:hAnsi="Helvetica" w:eastAsia="Helvetica"/>
          <w:b/>
          <w:color w:val="0F6B5A"/>
          <w:sz w:val="19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9"/>
        </w:rPr>
        <w:t>Verification: detailed workbook P02 AI Governance and P06 transparency.</w:t>
      </w:r>
    </w:p>
    <w:p>
      <w:pPr>
        <w:pStyle w:val="Heading1"/>
      </w:pPr>
      <w:r>
        <w:t>05 — Third-Party Risk Decision Engine</w:t>
      </w:r>
    </w:p>
    <w:p>
      <w:r>
        <w:rPr>
          <w:rFonts w:ascii="Helvetica" w:hAnsi="Helvetica" w:eastAsia="Helvetica"/>
          <w:b w:val="0"/>
          <w:color w:val="172033"/>
          <w:sz w:val="20"/>
        </w:rPr>
        <w:t>A portfolio model for deciding how much scrutiny a provider deserves based on criticality, data exposure, assurance evidence, contractual obligations and residual risk. Ten vendors are modeled from public evidence; this is not represented as live employer vendor review.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427"/>
        <w:gridCol w:w="3427"/>
        <w:gridCol w:w="3427"/>
      </w:tblGrid>
      <w:tr>
        <w:trPr>
          <w:tblHeader w:val="true"/>
        </w:trPr>
        <w:tc>
          <w:tcPr>
            <w:tcW w:type="dxa" w:w="2160"/>
            <w:shd w:fill="0B12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Helvetica" w:hAnsi="Helvetica" w:eastAsia="Helvetica"/>
                <w:b/>
                <w:color w:val="FFFFFF"/>
                <w:sz w:val="17"/>
              </w:rPr>
              <w:t>Dimension</w:t>
            </w:r>
          </w:p>
        </w:tc>
        <w:tc>
          <w:tcPr>
            <w:tcW w:type="dxa" w:w="4464"/>
            <w:shd w:fill="0B12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Helvetica" w:hAnsi="Helvetica" w:eastAsia="Helvetica"/>
                <w:b/>
                <w:color w:val="FFFFFF"/>
                <w:sz w:val="17"/>
              </w:rPr>
              <w:t>What is evaluated</w:t>
            </w:r>
          </w:p>
        </w:tc>
        <w:tc>
          <w:tcPr>
            <w:tcW w:type="dxa" w:w="3888"/>
            <w:shd w:fill="0B12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Helvetica" w:hAnsi="Helvetica" w:eastAsia="Helvetica"/>
                <w:b/>
                <w:color w:val="FFFFFF"/>
                <w:sz w:val="17"/>
              </w:rPr>
              <w:t>Decision impact</w:t>
            </w:r>
          </w:p>
        </w:tc>
      </w:tr>
      <w:tr>
        <w:tc>
          <w:tcPr>
            <w:tcW w:type="dxa" w:w="21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Criticality</w:t>
            </w:r>
          </w:p>
        </w:tc>
        <w:tc>
          <w:tcPr>
            <w:tcW w:type="dxa" w:w="446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Business dependency, access, service concentration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Sets review depth and escalation</w:t>
            </w:r>
          </w:p>
        </w:tc>
      </w:tr>
      <w:tr>
        <w:tc>
          <w:tcPr>
            <w:tcW w:type="dxa" w:w="21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Data exposure</w:t>
            </w:r>
          </w:p>
        </w:tc>
        <w:tc>
          <w:tcPr>
            <w:tcW w:type="dxa" w:w="446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Personal, confidential, source code or regulated data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Raises evidence and contractual requirements</w:t>
            </w:r>
          </w:p>
        </w:tc>
      </w:tr>
      <w:tr>
        <w:tc>
          <w:tcPr>
            <w:tcW w:type="dxa" w:w="21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Assurance evidence</w:t>
            </w:r>
          </w:p>
        </w:tc>
        <w:tc>
          <w:tcPr>
            <w:tcW w:type="dxa" w:w="446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SOC / ISO / security documentation / public trust evidence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Changes confidence, not automatically risk acceptance</w:t>
            </w:r>
          </w:p>
        </w:tc>
      </w:tr>
      <w:tr>
        <w:tc>
          <w:tcPr>
            <w:tcW w:type="dxa" w:w="21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Processor terms</w:t>
            </w:r>
          </w:p>
        </w:tc>
        <w:tc>
          <w:tcPr>
            <w:tcW w:type="dxa" w:w="446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Instructions, subprocessors, deletion/return, audit rights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Informs contractual/control gaps</w:t>
            </w:r>
          </w:p>
        </w:tc>
      </w:tr>
      <w:tr>
        <w:tc>
          <w:tcPr>
            <w:tcW w:type="dxa" w:w="2160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Residual risk</w:t>
            </w:r>
          </w:p>
        </w:tc>
        <w:tc>
          <w:tcPr>
            <w:tcW w:type="dxa" w:w="446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Known gaps after controls and commitments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Approve, remediate, accept or reject</w:t>
            </w:r>
          </w:p>
        </w:tc>
      </w:tr>
    </w:tbl>
    <w:p>
      <w:pPr>
        <w:spacing w:after="44"/>
        <w:ind w:left="216" w:hanging="173"/>
      </w:pPr>
      <w:r>
        <w:rPr>
          <w:rFonts w:ascii="Helvetica" w:hAnsi="Helvetica" w:eastAsia="Helvetica"/>
          <w:b/>
          <w:color w:val="0F6B5A"/>
          <w:sz w:val="19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9"/>
        </w:rPr>
        <w:t>Verification: 20-question vendor-risk assessment and P03 TPRM / P09 GDPR Article 28 sheets.</w:t>
      </w:r>
    </w:p>
    <w:p>
      <w:pPr>
        <w:pStyle w:val="Heading1"/>
      </w:pPr>
      <w:r>
        <w:t>06 — Control Assurance &amp; Executive Risk</w:t>
      </w:r>
    </w:p>
    <w:p>
      <w:pPr>
        <w:spacing w:after="44"/>
        <w:ind w:left="216" w:hanging="173"/>
      </w:pPr>
      <w:r>
        <w:rPr>
          <w:rFonts w:ascii="Helvetica" w:hAnsi="Helvetica" w:eastAsia="Helvetica"/>
          <w:b/>
          <w:color w:val="0F6B5A"/>
          <w:sz w:val="19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9"/>
        </w:rPr>
        <w:t>15-domain control inventory: governance, risk, assets, identity, privileged access, encryption, logging, vulnerability management, SDLC, incidents, continuity, vendor risk, privacy, AI governance and customer assurance.</w:t>
      </w:r>
    </w:p>
    <w:p>
      <w:pPr>
        <w:spacing w:after="44"/>
        <w:ind w:left="216" w:hanging="173"/>
      </w:pPr>
      <w:r>
        <w:rPr>
          <w:rFonts w:ascii="Helvetica" w:hAnsi="Helvetica" w:eastAsia="Helvetica"/>
          <w:b/>
          <w:color w:val="0F6B5A"/>
          <w:sz w:val="19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9"/>
        </w:rPr>
        <w:t>Audit-operations structure: request, owner, due date, evidence, review state, exception, remediation date, retest and conclusion.</w:t>
      </w:r>
    </w:p>
    <w:p>
      <w:pPr>
        <w:spacing w:after="44"/>
        <w:ind w:left="216" w:hanging="173"/>
      </w:pPr>
      <w:r>
        <w:rPr>
          <w:rFonts w:ascii="Helvetica" w:hAnsi="Helvetica" w:eastAsia="Helvetica"/>
          <w:b/>
          <w:color w:val="0F6B5A"/>
          <w:sz w:val="19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9"/>
        </w:rPr>
        <w:t>15-risk executive register: likelihood, impact, inherent risk, current controls, treatment, residual risk, owner, KRI, threshold and escalation logic.</w:t>
      </w:r>
    </w:p>
    <w:p>
      <w:r>
        <w:rPr>
          <w:rFonts w:ascii="Helvetica" w:hAnsi="Helvetica" w:eastAsia="Helvetica"/>
          <w:b w:val="0"/>
          <w:color w:val="5A6475"/>
          <w:sz w:val="18"/>
        </w:rPr>
        <w:t>The distinction matters: an artifact can prove I understand how assurance operations should be structured; it does not prove I have led an external audit unless separate employment evidence establishes that fact.</w:t>
      </w:r>
    </w:p>
    <w:p>
      <w:pPr>
        <w:pStyle w:val="Heading1"/>
      </w:pPr>
      <w:r>
        <w:t>07 — Framework Depth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41"/>
        <w:gridCol w:w="5141"/>
      </w:tblGrid>
      <w:tr>
        <w:trPr>
          <w:tblHeader w:val="true"/>
        </w:trPr>
        <w:tc>
          <w:tcPr>
            <w:tcW w:type="dxa" w:w="3168"/>
            <w:shd w:fill="0B12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Helvetica" w:hAnsi="Helvetica" w:eastAsia="Helvetica"/>
                <w:b/>
                <w:color w:val="FFFFFF"/>
                <w:sz w:val="17"/>
              </w:rPr>
              <w:t>Framework / standard</w:t>
            </w:r>
          </w:p>
        </w:tc>
        <w:tc>
          <w:tcPr>
            <w:tcW w:type="dxa" w:w="7056"/>
            <w:shd w:fill="0B12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</w:pPr>
            <w:r>
              <w:rPr>
                <w:rFonts w:ascii="Helvetica" w:hAnsi="Helvetica" w:eastAsia="Helvetica"/>
                <w:b/>
                <w:color w:val="FFFFFF"/>
                <w:sz w:val="17"/>
              </w:rPr>
              <w:t>How it changes the architecture</w:t>
            </w:r>
          </w:p>
        </w:tc>
      </w:tr>
      <w:tr>
        <w:tc>
          <w:tcPr>
            <w:tcW w:type="dxa" w:w="316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NIST AI RMF 1.0</w:t>
            </w:r>
          </w:p>
        </w:tc>
        <w:tc>
          <w:tcPr>
            <w:tcW w:type="dxa" w:w="705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Govern, Map, Measure and Manage structure the AI risk lifecycle and decision fields.</w:t>
            </w:r>
          </w:p>
        </w:tc>
      </w:tr>
      <w:tr>
        <w:tc>
          <w:tcPr>
            <w:tcW w:type="dxa" w:w="316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ISO/IEC 27001:2022</w:t>
            </w:r>
          </w:p>
        </w:tc>
        <w:tc>
          <w:tcPr>
            <w:tcW w:type="dxa" w:w="705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ISMS context, risk treatment and control ownership inform the control/evidence model.</w:t>
            </w:r>
          </w:p>
        </w:tc>
      </w:tr>
      <w:tr>
        <w:tc>
          <w:tcPr>
            <w:tcW w:type="dxa" w:w="316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AICPA Trust Services Criteria</w:t>
            </w:r>
          </w:p>
        </w:tc>
        <w:tc>
          <w:tcPr>
            <w:tcW w:type="dxa" w:w="705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Security, availability, processing integrity, confidentiality and privacy criteria inform assurance evidence.</w:t>
            </w:r>
          </w:p>
        </w:tc>
      </w:tr>
      <w:tr>
        <w:tc>
          <w:tcPr>
            <w:tcW w:type="dxa" w:w="316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ISO/IEC 42001:2023</w:t>
            </w:r>
          </w:p>
        </w:tc>
        <w:tc>
          <w:tcPr>
            <w:tcW w:type="dxa" w:w="705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AI management-system concepts inform accountability, policy, risk, monitoring and continual improvement.</w:t>
            </w:r>
          </w:p>
        </w:tc>
      </w:tr>
      <w:tr>
        <w:tc>
          <w:tcPr>
            <w:tcW w:type="dxa" w:w="316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EU AI Act — Article 50</w:t>
            </w:r>
          </w:p>
        </w:tc>
        <w:tc>
          <w:tcPr>
            <w:tcW w:type="dxa" w:w="705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Transparency analysis informs disclosure and content-marking decisions for relevant provider/deployer cases.</w:t>
            </w:r>
          </w:p>
        </w:tc>
      </w:tr>
      <w:tr>
        <w:tc>
          <w:tcPr>
            <w:tcW w:type="dxa" w:w="316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GDPR Article 28</w:t>
            </w:r>
          </w:p>
        </w:tc>
        <w:tc>
          <w:tcPr>
            <w:tcW w:type="dxa" w:w="7056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5F8FA"/>
            <w:tcBorders>
              <w:bottom w:val="single" w:sz="4" w:color="E3E8EE"/>
            </w:tcBorders>
          </w:tcPr>
          <w:p>
            <w:pPr>
              <w:spacing w:after="0"/>
            </w:pPr>
            <w:r>
              <w:rPr>
                <w:rFonts w:ascii="Helvetica" w:hAnsi="Helvetica" w:eastAsia="Helvetica"/>
                <w:b w:val="0"/>
                <w:color w:val="172033"/>
                <w:sz w:val="17"/>
              </w:rPr>
              <w:t>Processor/subprocessor obligations inform DPA evidence, deletion/return, assistance and audit-right decision points.</w:t>
            </w:r>
          </w:p>
        </w:tc>
      </w:tr>
    </w:tbl>
    <w:p>
      <w:pPr>
        <w:pStyle w:val="Heading1"/>
      </w:pPr>
      <w:r>
        <w:t>08 — Technical Foundation</w:t>
      </w:r>
    </w:p>
    <w:p>
      <w:pPr>
        <w:spacing w:after="44"/>
        <w:ind w:left="216" w:hanging="173"/>
      </w:pPr>
      <w:r>
        <w:rPr>
          <w:rFonts w:ascii="Helvetica" w:hAnsi="Helvetica" w:eastAsia="Helvetica"/>
          <w:b/>
          <w:color w:val="0F6B5A"/>
          <w:sz w:val="19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9"/>
        </w:rPr>
        <w:t>Python — structured data transformation and repeatable governance artifact workflows.</w:t>
      </w:r>
    </w:p>
    <w:p>
      <w:pPr>
        <w:spacing w:after="44"/>
        <w:ind w:left="216" w:hanging="173"/>
      </w:pPr>
      <w:r>
        <w:rPr>
          <w:rFonts w:ascii="Helvetica" w:hAnsi="Helvetica" w:eastAsia="Helvetica"/>
          <w:b/>
          <w:color w:val="0F6B5A"/>
          <w:sz w:val="19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9"/>
        </w:rPr>
        <w:t>SQL / data modeling — risk registers, evidence inventories, ownership structures and relational decision data.</w:t>
      </w:r>
    </w:p>
    <w:p>
      <w:pPr>
        <w:spacing w:after="44"/>
        <w:ind w:left="216" w:hanging="173"/>
      </w:pPr>
      <w:r>
        <w:rPr>
          <w:rFonts w:ascii="Helvetica" w:hAnsi="Helvetica" w:eastAsia="Helvetica"/>
          <w:b/>
          <w:color w:val="0F6B5A"/>
          <w:sz w:val="19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9"/>
        </w:rPr>
        <w:t>TypeScript / React / Next.js — typed evidence interfaces and a maintainable portfolio system.</w:t>
      </w:r>
    </w:p>
    <w:p>
      <w:pPr>
        <w:spacing w:after="44"/>
        <w:ind w:left="216" w:hanging="173"/>
      </w:pPr>
      <w:r>
        <w:rPr>
          <w:rFonts w:ascii="Helvetica" w:hAnsi="Helvetica" w:eastAsia="Helvetica"/>
          <w:b/>
          <w:color w:val="0F6B5A"/>
          <w:sz w:val="19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9"/>
        </w:rPr>
        <w:t>Git / GitHub — version control, change traceability and repository delivery discipline.</w:t>
      </w:r>
    </w:p>
    <w:p>
      <w:r>
        <w:rPr>
          <w:rFonts w:ascii="Helvetica" w:hAnsi="Helvetica" w:eastAsia="Helvetica"/>
          <w:b/>
          <w:color w:val="0B1220"/>
          <w:sz w:val="19"/>
        </w:rPr>
        <w:t>Education: SEGi University, Malaysia — BSc (Hons) Computer Science program.</w:t>
      </w:r>
    </w:p>
    <w:p>
      <w:pPr>
        <w:pStyle w:val="Heading1"/>
      </w:pPr>
      <w:r>
        <w:t>09 — Global Hiring Relevance</w:t>
      </w:r>
    </w:p>
    <w:p>
      <w:r>
        <w:rPr>
          <w:rFonts w:ascii="Helvetica" w:hAnsi="Helvetica" w:eastAsia="Helvetica"/>
          <w:b w:val="0"/>
          <w:color w:val="172033"/>
          <w:sz w:val="20"/>
        </w:rPr>
        <w:t>Current global role research shows recurring demand for control evidence, audit readiness, risk registers, TPRM, policies/standards, customer security assurance, AI inventories/risk assessments, ISO 27001, SOC 2, ISO 42001, NIST AI RMF, cloud context, scripting/automation and cross-functional communication. The package aligns terminology only where the included evidence supports it.</w:t>
      </w:r>
    </w:p>
    <w:p>
      <w:pPr>
        <w:spacing w:after="44"/>
        <w:ind w:left="216" w:hanging="173"/>
      </w:pPr>
      <w:r>
        <w:rPr>
          <w:rFonts w:ascii="Helvetica" w:hAnsi="Helvetica" w:eastAsia="Helvetica"/>
          <w:b/>
          <w:color w:val="0F6B5A"/>
          <w:sz w:val="18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8"/>
        </w:rPr>
        <w:t>Best immediate role families: GRC Analyst, Information Security Analyst (GRC/AI), Technology Risk Analyst, Security Compliance / Trust Analyst, TPRM / Vendor Risk Analyst and AI Governance Analyst where professional-experience thresholds are compatible.</w:t>
      </w:r>
    </w:p>
    <w:p>
      <w:pPr>
        <w:spacing w:after="44"/>
        <w:ind w:left="216" w:hanging="173"/>
      </w:pPr>
      <w:r>
        <w:rPr>
          <w:rFonts w:ascii="Helvetica" w:hAnsi="Helvetica" w:eastAsia="Helvetica"/>
          <w:b/>
          <w:color w:val="0F6B5A"/>
          <w:sz w:val="18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8"/>
        </w:rPr>
        <w:t>Do not use portfolio sophistication to bypass explicit 3–5 or 5+ year requirements, end-to-end audit-ownership requirements, work authorization or tool requirements that are not genuinely met.</w:t>
      </w:r>
    </w:p>
    <w:p>
      <w:pPr>
        <w:pStyle w:val="Heading1"/>
      </w:pPr>
      <w:r>
        <w:t>10 — Sources &amp; Verification</w:t>
      </w:r>
    </w:p>
    <w:p>
      <w:pPr>
        <w:spacing w:after="28"/>
        <w:ind w:left="216" w:hanging="173"/>
      </w:pPr>
      <w:r>
        <w:rPr>
          <w:rFonts w:ascii="Helvetica" w:hAnsi="Helvetica" w:eastAsia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7"/>
        </w:rPr>
        <w:t>https://www.nist.gov/itl/ai-risk-management-framework</w:t>
      </w:r>
    </w:p>
    <w:p>
      <w:pPr>
        <w:spacing w:after="28"/>
        <w:ind w:left="216" w:hanging="173"/>
      </w:pPr>
      <w:r>
        <w:rPr>
          <w:rFonts w:ascii="Helvetica" w:hAnsi="Helvetica" w:eastAsia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7"/>
        </w:rPr>
        <w:t>https://www.iso.org/standard/27001</w:t>
      </w:r>
    </w:p>
    <w:p>
      <w:pPr>
        <w:spacing w:after="28"/>
        <w:ind w:left="216" w:hanging="173"/>
      </w:pPr>
      <w:r>
        <w:rPr>
          <w:rFonts w:ascii="Helvetica" w:hAnsi="Helvetica" w:eastAsia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7"/>
        </w:rPr>
        <w:t>https://www.iso.org/standard/42001</w:t>
      </w:r>
    </w:p>
    <w:p>
      <w:pPr>
        <w:spacing w:after="28"/>
        <w:ind w:left="216" w:hanging="173"/>
      </w:pPr>
      <w:r>
        <w:rPr>
          <w:rFonts w:ascii="Helvetica" w:hAnsi="Helvetica" w:eastAsia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7"/>
        </w:rPr>
        <w:t>https://www.aicpa-cima.com/resources/download/2017-trust-services-criteria-with-revised-points-of-focus-2022</w:t>
      </w:r>
    </w:p>
    <w:p>
      <w:pPr>
        <w:spacing w:after="28"/>
        <w:ind w:left="216" w:hanging="173"/>
      </w:pPr>
      <w:r>
        <w:rPr>
          <w:rFonts w:ascii="Helvetica" w:hAnsi="Helvetica" w:eastAsia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7"/>
        </w:rPr>
        <w:t>https://digital-strategy.ec.europa.eu/en/policies/guidelines-ai-transparency-obligations</w:t>
      </w:r>
    </w:p>
    <w:p>
      <w:pPr>
        <w:spacing w:after="28"/>
        <w:ind w:left="216" w:hanging="173"/>
      </w:pPr>
      <w:r>
        <w:rPr>
          <w:rFonts w:ascii="Helvetica" w:hAnsi="Helvetica" w:eastAsia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7"/>
        </w:rPr>
        <w:t>https://eur-lex.europa.eu/eli/reg/2016/679/oj</w:t>
      </w:r>
    </w:p>
    <w:p>
      <w:pPr>
        <w:spacing w:after="28"/>
        <w:ind w:left="216" w:hanging="173"/>
      </w:pPr>
      <w:r>
        <w:rPr>
          <w:rFonts w:ascii="Helvetica" w:hAnsi="Helvetica" w:eastAsia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/>
          <w:b w:val="0"/>
          <w:color w:val="172033"/>
          <w:sz w:val="17"/>
        </w:rPr>
        <w:t>https://personal-portfolio-website-e13.pages.dev</w:t>
      </w:r>
    </w:p>
    <w:sectPr w:rsidR="00FC693F" w:rsidRPr="0006063C" w:rsidSect="00034616">
      <w:pgSz w:w="12240" w:h="15840"/>
      <w:pgMar w:top="979" w:right="979" w:bottom="979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Helvetica" w:hAnsi="Helvetica" w:eastAsia="Helvetica"/>
      <w:color w:val="17203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20"/>
      <w:outlineLvl w:val="0"/>
    </w:pPr>
    <w:rPr>
      <w:rFonts w:asciiTheme="majorHAnsi" w:eastAsiaTheme="majorEastAsia" w:hAnsiTheme="majorHAnsi" w:cstheme="majorBidi" w:ascii="Helvetica" w:hAnsi="Helvetica" w:eastAsia="Helvetica"/>
      <w:b/>
      <w:bCs/>
      <w:color w:val="0B122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Helvetica" w:hAnsi="Helvetica" w:eastAsia="Helvetica"/>
      <w:b/>
      <w:bCs/>
      <w:color w:val="0F6B5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Helvetica" w:hAnsi="Helvetica" w:eastAsia="Helvetica"/>
      <w:b/>
      <w:bCs/>
      <w:color w:val="0B1220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Helvetica" w:hAnsi="Helvetica" w:eastAsia="Helvetica"/>
      <w:b/>
      <w:color w:val="0B1220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